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D5F76" w:rsidRDefault="002E2161">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-259717</wp:posOffset>
                </wp:positionH>
                <wp:positionV relativeFrom="page">
                  <wp:posOffset>876296</wp:posOffset>
                </wp:positionV>
                <wp:extent cx="6400800" cy="1466853"/>
                <wp:effectExtent l="0" t="0" r="19050" b="19047"/>
                <wp:wrapTight wrapText="bothSides">
                  <wp:wrapPolygon edited="0">
                    <wp:start x="0" y="0"/>
                    <wp:lineTo x="0" y="21600"/>
                    <wp:lineTo x="21600" y="21600"/>
                    <wp:lineTo x="21600" y="0"/>
                    <wp:lineTo x="0" y="0"/>
                  </wp:wrapPolygon>
                </wp:wrapTight>
                <wp:docPr id="1" name="Text Box 2"/>
                <wp:cNvGraphicFramePr/>
                <a:graphic xmlns:a="http://schemas.openxmlformats.org/drawingml/2006/main">
                  <a:graphicData uri="http://schemas.microsoft.com/office/word/2010/wordprocessingShape">
                    <wps:wsp>
                      <wps:cNvSpPr txBox="1"/>
                      <wps:spPr>
                        <a:xfrm>
                          <a:off x="0" y="0"/>
                          <a:ext cx="6400800" cy="1466853"/>
                        </a:xfrm>
                        <a:prstGeom prst="rect">
                          <a:avLst/>
                        </a:prstGeom>
                        <a:solidFill>
                          <a:srgbClr val="FFFF00"/>
                        </a:solidFill>
                        <a:ln w="9528">
                          <a:solidFill>
                            <a:srgbClr val="000000"/>
                          </a:solidFill>
                          <a:prstDash val="solid"/>
                        </a:ln>
                      </wps:spPr>
                      <wps:txbx>
                        <w:txbxContent>
                          <w:p w:rsidR="006D5F76" w:rsidRDefault="006D5F76">
                            <w:pPr>
                              <w:jc w:val="center"/>
                              <w:rPr>
                                <w:rFonts w:ascii="Arial" w:hAnsi="Arial"/>
                                <w:b/>
                              </w:rPr>
                            </w:pPr>
                          </w:p>
                          <w:p w:rsidR="006D5F76" w:rsidRDefault="002E2161">
                            <w:pPr>
                              <w:jc w:val="center"/>
                              <w:rPr>
                                <w:rFonts w:ascii="Arial" w:hAnsi="Arial"/>
                                <w:b/>
                                <w:sz w:val="40"/>
                              </w:rPr>
                            </w:pPr>
                            <w:r>
                              <w:rPr>
                                <w:rFonts w:ascii="Arial" w:hAnsi="Arial"/>
                                <w:b/>
                                <w:sz w:val="40"/>
                              </w:rPr>
                              <w:t>Tilleggsetikett: Utvidelse for bruksområde av mindre betydning</w:t>
                            </w:r>
                          </w:p>
                          <w:p w:rsidR="006D5F76" w:rsidRDefault="002E2161">
                            <w:pPr>
                              <w:jc w:val="center"/>
                            </w:pPr>
                            <w:r>
                              <w:rPr>
                                <w:rFonts w:ascii="Arial" w:hAnsi="Arial"/>
                                <w:b/>
                                <w:i/>
                                <w:sz w:val="28"/>
                                <w:szCs w:val="28"/>
                              </w:rPr>
                              <w:t>Europaparlaments- og rådsforordning (EF) nr. 1107/2009, Art.51</w:t>
                            </w:r>
                            <w:r>
                              <w:rPr>
                                <w:rFonts w:ascii="Arial" w:hAnsi="Arial"/>
                                <w:b/>
                                <w:i/>
                                <w:sz w:val="40"/>
                              </w:rPr>
                              <w:t xml:space="preserve"> </w:t>
                            </w:r>
                          </w:p>
                          <w:p w:rsidR="006D5F76" w:rsidRDefault="00451FB7">
                            <w:pPr>
                              <w:jc w:val="center"/>
                            </w:pPr>
                            <w:r>
                              <w:rPr>
                                <w:rFonts w:ascii="Arial" w:hAnsi="Arial"/>
                                <w:b/>
                                <w:i/>
                                <w:sz w:val="36"/>
                              </w:rPr>
                              <w:t>Amistar</w:t>
                            </w:r>
                            <w:r w:rsidR="002E2161" w:rsidRPr="002E2161">
                              <w:rPr>
                                <w:rFonts w:ascii="Arial" w:hAnsi="Arial"/>
                                <w:b/>
                                <w:i/>
                                <w:sz w:val="36"/>
                              </w:rPr>
                              <w:t xml:space="preserve"> - </w:t>
                            </w:r>
                            <w:r w:rsidR="00576E1F">
                              <w:rPr>
                                <w:rFonts w:ascii="Arial" w:hAnsi="Arial"/>
                                <w:b/>
                                <w:i/>
                                <w:sz w:val="36"/>
                              </w:rPr>
                              <w:t>az</w:t>
                            </w:r>
                            <w:r>
                              <w:rPr>
                                <w:rFonts w:ascii="Arial" w:hAnsi="Arial"/>
                                <w:b/>
                                <w:i/>
                                <w:sz w:val="36"/>
                              </w:rPr>
                              <w:t>oxystrobin</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5pt;margin-top:69pt;width:7in;height:115.5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" fillcolor="yellow" strokeweight=".26467mm">
                <v:textbox>
                  <w:txbxContent>
                    <w:p w:rsidR="006D5F76" w:rsidRDefault="006D5F76">
                      <w:pPr>
                        <w:jc w:val="center"/>
                        <w:rPr>
                          <w:rFonts w:ascii="Arial" w:hAnsi="Arial"/>
                          <w:b/>
                        </w:rPr>
                      </w:pPr>
                    </w:p>
                    <w:p w:rsidR="006D5F76" w:rsidRDefault="002E2161">
                      <w:pPr>
                        <w:jc w:val="center"/>
                        <w:rPr>
                          <w:rFonts w:ascii="Arial" w:hAnsi="Arial"/>
                          <w:b/>
                          <w:sz w:val="40"/>
                        </w:rPr>
                      </w:pPr>
                      <w:r>
                        <w:rPr>
                          <w:rFonts w:ascii="Arial" w:hAnsi="Arial"/>
                          <w:b/>
                          <w:sz w:val="40"/>
                        </w:rPr>
                        <w:t>Tilleggsetikett: Utvidelse for bruksområde av mindre betydning</w:t>
                      </w:r>
                    </w:p>
                    <w:p w:rsidR="006D5F76" w:rsidRDefault="002E2161">
                      <w:pPr>
                        <w:jc w:val="center"/>
                      </w:pPr>
                      <w:r>
                        <w:rPr>
                          <w:rFonts w:ascii="Arial" w:hAnsi="Arial"/>
                          <w:b/>
                          <w:i/>
                          <w:sz w:val="28"/>
                          <w:szCs w:val="28"/>
                        </w:rPr>
                        <w:t>Europaparlaments- og rådsforordning (EF) nr. 1107/2009, Art.51</w:t>
                      </w:r>
                      <w:r>
                        <w:rPr>
                          <w:rFonts w:ascii="Arial" w:hAnsi="Arial"/>
                          <w:b/>
                          <w:i/>
                          <w:sz w:val="40"/>
                        </w:rPr>
                        <w:t xml:space="preserve"> </w:t>
                      </w:r>
                    </w:p>
                    <w:p w:rsidR="006D5F76" w:rsidRDefault="00451FB7">
                      <w:pPr>
                        <w:jc w:val="center"/>
                      </w:pPr>
                      <w:r>
                        <w:rPr>
                          <w:rFonts w:ascii="Arial" w:hAnsi="Arial"/>
                          <w:b/>
                          <w:i/>
                          <w:sz w:val="36"/>
                        </w:rPr>
                        <w:t>Amistar</w:t>
                      </w:r>
                      <w:r w:rsidR="002E2161" w:rsidRPr="002E2161">
                        <w:rPr>
                          <w:rFonts w:ascii="Arial" w:hAnsi="Arial"/>
                          <w:b/>
                          <w:i/>
                          <w:sz w:val="36"/>
                        </w:rPr>
                        <w:t xml:space="preserve"> - </w:t>
                      </w:r>
                      <w:r w:rsidR="00576E1F">
                        <w:rPr>
                          <w:rFonts w:ascii="Arial" w:hAnsi="Arial"/>
                          <w:b/>
                          <w:i/>
                          <w:sz w:val="36"/>
                        </w:rPr>
                        <w:t>az</w:t>
                      </w:r>
                      <w:r>
                        <w:rPr>
                          <w:rFonts w:ascii="Arial" w:hAnsi="Arial"/>
                          <w:b/>
                          <w:i/>
                          <w:sz w:val="36"/>
                        </w:rPr>
                        <w:t>oxystrobin</w:t>
                      </w:r>
                    </w:p>
                  </w:txbxContent>
                </v:textbox>
                <w10:wrap type="tight" anchory="page"/>
              </v:shape>
            </w:pict>
          </mc:Fallback>
        </mc:AlternateContent>
      </w:r>
    </w:p>
    <w:p w:rsidR="006D5F76" w:rsidRDefault="006D5F76">
      <w:pPr>
        <w:rPr>
          <w:rFonts w:ascii="Arial" w:hAnsi="Arial"/>
          <w:b/>
        </w:rPr>
      </w:pPr>
    </w:p>
    <w:p w:rsidR="006D5F76" w:rsidRDefault="002E2161">
      <w:r>
        <w:rPr>
          <w:rFonts w:ascii="Arial" w:hAnsi="Arial"/>
          <w:b/>
        </w:rPr>
        <w:t xml:space="preserve">Godkjent av Mattilsynet:  </w:t>
      </w:r>
      <w:r w:rsidR="00966FD0">
        <w:rPr>
          <w:rFonts w:ascii="Arial" w:hAnsi="Arial" w:cs="Arial"/>
          <w:i/>
          <w:sz w:val="22"/>
          <w:szCs w:val="22"/>
        </w:rPr>
        <w:t>26.juni 2017</w:t>
      </w:r>
    </w:p>
    <w:p w:rsidR="006D5F76" w:rsidRDefault="002E2161">
      <w:r>
        <w:rPr>
          <w:rFonts w:ascii="Arial" w:hAnsi="Arial" w:cs="Arial"/>
          <w:b/>
        </w:rPr>
        <w:t xml:space="preserve">Gyldig t.o.m. : </w:t>
      </w:r>
      <w:r w:rsidR="00966FD0">
        <w:rPr>
          <w:rFonts w:ascii="Arial" w:hAnsi="Arial"/>
          <w:i/>
        </w:rPr>
        <w:t>30.juni 2019</w:t>
      </w:r>
    </w:p>
    <w:p w:rsidR="006D5F76" w:rsidRDefault="006D5F76"/>
    <w:p w:rsidR="006D5F76" w:rsidRDefault="002E2161">
      <w:r>
        <w:rPr>
          <w:noProof/>
        </w:rPr>
        <mc:AlternateContent>
          <mc:Choice Requires="wps">
            <w:drawing>
              <wp:anchor distT="0" distB="0" distL="114300" distR="114300" simplePos="0" relativeHeight="251658240" behindDoc="0" locked="0" layoutInCell="1" allowOverlap="1">
                <wp:simplePos x="0" y="0"/>
                <wp:positionH relativeFrom="column">
                  <wp:posOffset>165104</wp:posOffset>
                </wp:positionH>
                <wp:positionV relativeFrom="page">
                  <wp:posOffset>3486149</wp:posOffset>
                </wp:positionV>
                <wp:extent cx="5120640" cy="2066928"/>
                <wp:effectExtent l="0" t="0" r="22860" b="28572"/>
                <wp:wrapTight wrapText="bothSides">
                  <wp:wrapPolygon edited="0">
                    <wp:start x="0" y="0"/>
                    <wp:lineTo x="0" y="21700"/>
                    <wp:lineTo x="21616" y="21700"/>
                    <wp:lineTo x="21616" y="0"/>
                    <wp:lineTo x="0" y="0"/>
                  </wp:wrapPolygon>
                </wp:wrapTight>
                <wp:docPr id="2" name="Text Box 3"/>
                <wp:cNvGraphicFramePr/>
                <a:graphic xmlns:a="http://schemas.openxmlformats.org/drawingml/2006/main">
                  <a:graphicData uri="http://schemas.microsoft.com/office/word/2010/wordprocessingShape">
                    <wps:wsp>
                      <wps:cNvSpPr txBox="1"/>
                      <wps:spPr>
                        <a:xfrm>
                          <a:off x="0" y="0"/>
                          <a:ext cx="5120640" cy="2066928"/>
                        </a:xfrm>
                        <a:prstGeom prst="rect">
                          <a:avLst/>
                        </a:prstGeom>
                        <a:solidFill>
                          <a:srgbClr val="FFFFFF"/>
                        </a:solidFill>
                        <a:ln w="9528">
                          <a:solidFill>
                            <a:srgbClr val="000000"/>
                          </a:solidFill>
                          <a:prstDash val="solid"/>
                        </a:ln>
                      </wps:spPr>
                      <wps:txbx>
                        <w:txbxContent>
                          <w:p w:rsidR="006D5F76" w:rsidRDefault="002E2161">
                            <w:pPr>
                              <w:rPr>
                                <w:rFonts w:ascii="Arial" w:hAnsi="Arial" w:cs="Arial"/>
                                <w:b/>
                                <w:sz w:val="22"/>
                                <w:szCs w:val="22"/>
                              </w:rPr>
                            </w:pPr>
                            <w:r>
                              <w:rPr>
                                <w:rFonts w:ascii="Arial" w:hAnsi="Arial" w:cs="Arial"/>
                                <w:b/>
                                <w:sz w:val="22"/>
                                <w:szCs w:val="22"/>
                              </w:rPr>
                              <w:t>Erklæring</w:t>
                            </w:r>
                          </w:p>
                          <w:p w:rsidR="006D5F76" w:rsidRDefault="002E2161">
                            <w:pPr>
                              <w:rPr>
                                <w:rFonts w:ascii="Arial" w:hAnsi="Arial" w:cs="Arial"/>
                                <w:sz w:val="22"/>
                                <w:szCs w:val="22"/>
                              </w:rPr>
                            </w:pPr>
                            <w:r>
                              <w:rPr>
                                <w:rFonts w:ascii="Arial" w:hAnsi="Arial" w:cs="Arial"/>
                                <w:sz w:val="22"/>
                                <w:szCs w:val="22"/>
                              </w:rPr>
                              <w:t xml:space="preserve">Brukeren selv står ansvarlig ved eventuelle skader på kulturene og annen utilsiktet effekt som følge av en utvidet anvendelse av mindre betydning.. Unntatt er sprøyteskader som måtte oppstå som følge av at innholdet i preparatet ikke samsvarer med det produsenten har oppgitt på preparatets ordinære etikett. </w:t>
                            </w:r>
                          </w:p>
                          <w:p w:rsidR="006D5F76" w:rsidRDefault="006D5F76">
                            <w:pPr>
                              <w:rPr>
                                <w:rFonts w:ascii="Arial" w:hAnsi="Arial" w:cs="Arial"/>
                                <w:sz w:val="22"/>
                                <w:szCs w:val="22"/>
                              </w:rPr>
                            </w:pPr>
                          </w:p>
                          <w:p w:rsidR="006D5F76" w:rsidRDefault="002E2161">
                            <w:pPr>
                              <w:rPr>
                                <w:rFonts w:ascii="Arial" w:hAnsi="Arial" w:cs="Arial"/>
                                <w:sz w:val="22"/>
                                <w:szCs w:val="22"/>
                              </w:rPr>
                            </w:pPr>
                            <w:r>
                              <w:rPr>
                                <w:rFonts w:ascii="Arial" w:hAnsi="Arial" w:cs="Arial"/>
                                <w:sz w:val="22"/>
                                <w:szCs w:val="22"/>
                              </w:rPr>
                              <w:t xml:space="preserve">Bruksrettledningen må følges, slik at man unngår risiko for menneske og miljø. Det er forbudt å bruke preparatet i strid med godkjent bruksområde eller behandlingsfrist, eller å overskride den tillatte maksimale dosering/konsentrasjon. </w:t>
                            </w:r>
                          </w:p>
                          <w:p w:rsidR="006D5F76" w:rsidRDefault="006D5F76">
                            <w:pPr>
                              <w:rPr>
                                <w:rFonts w:ascii="Arial" w:hAnsi="Arial" w:cs="Arial"/>
                                <w:sz w:val="22"/>
                                <w:szCs w:val="22"/>
                              </w:rPr>
                            </w:pPr>
                          </w:p>
                          <w:p w:rsidR="006D5F76" w:rsidRDefault="006D5F76">
                            <w:pPr>
                              <w:rPr>
                                <w:rFonts w:ascii="Arial" w:hAnsi="Arial" w:cs="Arial"/>
                                <w:sz w:val="22"/>
                                <w:szCs w:val="22"/>
                              </w:rPr>
                            </w:pPr>
                          </w:p>
                          <w:p w:rsidR="006D5F76" w:rsidRDefault="006D5F76">
                            <w:pPr>
                              <w:jc w:val="center"/>
                              <w:rPr>
                                <w:rFonts w:ascii="Arial" w:hAnsi="Arial"/>
                              </w:rPr>
                            </w:pPr>
                          </w:p>
                        </w:txbxContent>
                      </wps:txbx>
                      <wps:bodyPr vert="horz" wrap="square" lIns="91440" tIns="45720" rIns="91440" bIns="45720" anchor="t" anchorCtr="0" compatLnSpc="0">
                        <a:noAutofit/>
                      </wps:bodyPr>
                    </wps:wsp>
                  </a:graphicData>
                </a:graphic>
              </wp:anchor>
            </w:drawing>
          </mc:Choice>
          <mc:Fallback>
            <w:pict>
              <v:shape id="Text Box 3" o:spid="_x0000_s1027" type="#_x0000_t202" style="position:absolute;margin-left:13pt;margin-top:274.5pt;width:403.2pt;height:162.7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" strokeweight=".26467mm">
                <v:textbox>
                  <w:txbxContent>
                    <w:p w:rsidR="006D5F76" w:rsidRDefault="002E2161">
                      <w:pPr>
                        <w:rPr>
                          <w:rFonts w:ascii="Arial" w:hAnsi="Arial" w:cs="Arial"/>
                          <w:b/>
                          <w:sz w:val="22"/>
                          <w:szCs w:val="22"/>
                        </w:rPr>
                      </w:pPr>
                      <w:r>
                        <w:rPr>
                          <w:rFonts w:ascii="Arial" w:hAnsi="Arial" w:cs="Arial"/>
                          <w:b/>
                          <w:sz w:val="22"/>
                          <w:szCs w:val="22"/>
                        </w:rPr>
                        <w:t>Erklæring</w:t>
                      </w:r>
                    </w:p>
                    <w:p w:rsidR="006D5F76" w:rsidRDefault="002E2161">
                      <w:pPr>
                        <w:rPr>
                          <w:rFonts w:ascii="Arial" w:hAnsi="Arial" w:cs="Arial"/>
                          <w:sz w:val="22"/>
                          <w:szCs w:val="22"/>
                        </w:rPr>
                      </w:pPr>
                      <w:r>
                        <w:rPr>
                          <w:rFonts w:ascii="Arial" w:hAnsi="Arial" w:cs="Arial"/>
                          <w:sz w:val="22"/>
                          <w:szCs w:val="22"/>
                        </w:rPr>
                        <w:t>Brukeren selv står ansvarlig ved eventuelle skader på kulturene og annen utilsiktet effekt som følge av en utvidet anvendelse av mindre betydning.. Unntatt er sprøyteskader som måtte oppstå som følge av at innholdet i preparatet ikke samsvarer med det prod</w:t>
                      </w:r>
                      <w:r>
                        <w:rPr>
                          <w:rFonts w:ascii="Arial" w:hAnsi="Arial" w:cs="Arial"/>
                          <w:sz w:val="22"/>
                          <w:szCs w:val="22"/>
                        </w:rPr>
                        <w:t xml:space="preserve">usenten har oppgitt på preparatets ordinære etikett. </w:t>
                      </w:r>
                    </w:p>
                    <w:p w:rsidR="006D5F76" w:rsidRDefault="006D5F76">
                      <w:pPr>
                        <w:rPr>
                          <w:rFonts w:ascii="Arial" w:hAnsi="Arial" w:cs="Arial"/>
                          <w:sz w:val="22"/>
                          <w:szCs w:val="22"/>
                        </w:rPr>
                      </w:pPr>
                    </w:p>
                    <w:p w:rsidR="006D5F76" w:rsidRDefault="002E2161">
                      <w:pPr>
                        <w:rPr>
                          <w:rFonts w:ascii="Arial" w:hAnsi="Arial" w:cs="Arial"/>
                          <w:sz w:val="22"/>
                          <w:szCs w:val="22"/>
                        </w:rPr>
                      </w:pPr>
                      <w:r>
                        <w:rPr>
                          <w:rFonts w:ascii="Arial" w:hAnsi="Arial" w:cs="Arial"/>
                          <w:sz w:val="22"/>
                          <w:szCs w:val="22"/>
                        </w:rPr>
                        <w:t>Bruksrettledningen må følges, slik at man unngår risiko for menneske og miljø. Det er forbudt å bruke preparatet i strid med godkjent bruksområde eller behandlingsfrist, eller å overskride den tillatte</w:t>
                      </w:r>
                      <w:r>
                        <w:rPr>
                          <w:rFonts w:ascii="Arial" w:hAnsi="Arial" w:cs="Arial"/>
                          <w:sz w:val="22"/>
                          <w:szCs w:val="22"/>
                        </w:rPr>
                        <w:t xml:space="preserve"> maksimale dosering/konsentrasjon. </w:t>
                      </w:r>
                    </w:p>
                    <w:p w:rsidR="006D5F76" w:rsidRDefault="006D5F76">
                      <w:pPr>
                        <w:rPr>
                          <w:rFonts w:ascii="Arial" w:hAnsi="Arial" w:cs="Arial"/>
                          <w:sz w:val="22"/>
                          <w:szCs w:val="22"/>
                        </w:rPr>
                      </w:pPr>
                    </w:p>
                    <w:p w:rsidR="006D5F76" w:rsidRDefault="006D5F76">
                      <w:pPr>
                        <w:rPr>
                          <w:rFonts w:ascii="Arial" w:hAnsi="Arial" w:cs="Arial"/>
                          <w:sz w:val="22"/>
                          <w:szCs w:val="22"/>
                        </w:rPr>
                      </w:pPr>
                    </w:p>
                    <w:p w:rsidR="006D5F76" w:rsidRDefault="006D5F76">
                      <w:pPr>
                        <w:jc w:val="center"/>
                        <w:rPr>
                          <w:rFonts w:ascii="Arial" w:hAnsi="Arial"/>
                        </w:rPr>
                      </w:pPr>
                    </w:p>
                  </w:txbxContent>
                </v:textbox>
                <w10:wrap type="tight" anchory="page"/>
              </v:shape>
            </w:pict>
          </mc:Fallback>
        </mc:AlternateContent>
      </w:r>
    </w:p>
    <w:p w:rsidR="006D5F76" w:rsidRDefault="006D5F76"/>
    <w:p w:rsidR="006D5F76" w:rsidRDefault="006D5F76"/>
    <w:p w:rsidR="006D5F76" w:rsidRDefault="006D5F76"/>
    <w:p w:rsidR="006D5F76" w:rsidRDefault="006D5F76"/>
    <w:p w:rsidR="006D5F76" w:rsidRDefault="006D5F76"/>
    <w:p w:rsidR="006D5F76" w:rsidRDefault="006D5F76">
      <w:pPr>
        <w:rPr>
          <w:rFonts w:ascii="Arial" w:hAnsi="Arial"/>
          <w:b/>
          <w:sz w:val="22"/>
          <w:u w:val="single"/>
        </w:rPr>
      </w:pPr>
    </w:p>
    <w:p w:rsidR="006D5F76" w:rsidRDefault="006D5F76">
      <w:pPr>
        <w:rPr>
          <w:rFonts w:ascii="Arial" w:hAnsi="Arial"/>
          <w:b/>
          <w:sz w:val="22"/>
          <w:u w:val="single"/>
        </w:rPr>
      </w:pPr>
    </w:p>
    <w:p w:rsidR="006D5F76" w:rsidRDefault="006D5F76">
      <w:pPr>
        <w:rPr>
          <w:rFonts w:ascii="Arial" w:hAnsi="Arial"/>
          <w:b/>
          <w:sz w:val="22"/>
          <w:u w:val="single"/>
        </w:rPr>
      </w:pPr>
    </w:p>
    <w:p w:rsidR="006D5F76" w:rsidRDefault="006D5F76">
      <w:pPr>
        <w:rPr>
          <w:rFonts w:ascii="Arial" w:hAnsi="Arial"/>
          <w:b/>
          <w:sz w:val="22"/>
          <w:u w:val="single"/>
        </w:rPr>
      </w:pPr>
    </w:p>
    <w:p w:rsidR="006D5F76" w:rsidRDefault="006D5F76">
      <w:pPr>
        <w:rPr>
          <w:rFonts w:ascii="Arial" w:hAnsi="Arial"/>
          <w:b/>
          <w:sz w:val="22"/>
          <w:u w:val="single"/>
        </w:rPr>
      </w:pPr>
    </w:p>
    <w:p w:rsidR="006D5F76" w:rsidRDefault="002E2161">
      <w:r>
        <w:rPr>
          <w:rFonts w:ascii="Arial" w:hAnsi="Arial"/>
          <w:b/>
        </w:rPr>
        <w:t>I Tillegg til preparatets ordinære etikett, gjelder betingelsene gitt nedenfor.</w:t>
      </w:r>
    </w:p>
    <w:p w:rsidR="006D5F76" w:rsidRDefault="006D5F76">
      <w:pPr>
        <w:rPr>
          <w:rFonts w:ascii="Arial" w:hAnsi="Arial"/>
          <w:b/>
          <w:sz w:val="22"/>
          <w:u w:val="single"/>
        </w:rPr>
      </w:pPr>
    </w:p>
    <w:p w:rsidR="006D5F76" w:rsidRDefault="002E2161">
      <w:r>
        <w:rPr>
          <w:rFonts w:ascii="Arial" w:hAnsi="Arial"/>
          <w:b/>
          <w:sz w:val="22"/>
          <w:u w:val="single"/>
        </w:rPr>
        <w:t>Advarsel</w:t>
      </w:r>
      <w:r>
        <w:rPr>
          <w:rFonts w:ascii="Arial" w:hAnsi="Arial"/>
          <w:b/>
          <w:sz w:val="28"/>
          <w:u w:val="single"/>
        </w:rPr>
        <w:t xml:space="preserve"> </w:t>
      </w:r>
      <w:r>
        <w:rPr>
          <w:rFonts w:ascii="Arial" w:hAnsi="Arial"/>
          <w:sz w:val="22"/>
        </w:rPr>
        <w:t>(F</w:t>
      </w:r>
      <w:r>
        <w:rPr>
          <w:rFonts w:ascii="Arial" w:hAnsi="Arial"/>
          <w:i/>
        </w:rPr>
        <w:t>ylles ut av Mattilsynet)</w:t>
      </w:r>
    </w:p>
    <w:p w:rsidR="006D5F76" w:rsidRDefault="002E2161">
      <w:r>
        <w:rPr>
          <w:rFonts w:ascii="Arial" w:hAnsi="Arial"/>
          <w:i/>
          <w:sz w:val="22"/>
        </w:rPr>
        <w:t xml:space="preserve">Alternativ 1: </w:t>
      </w:r>
    </w:p>
    <w:p w:rsidR="006D5F76" w:rsidRDefault="002E2161">
      <w:r>
        <w:rPr>
          <w:rFonts w:ascii="Arial" w:hAnsi="Arial"/>
          <w:sz w:val="22"/>
        </w:rPr>
        <w:t>Se advarselsfeltet på preparatets ordinære etikett.</w:t>
      </w:r>
    </w:p>
    <w:p w:rsidR="006D5F76" w:rsidRDefault="006D5F76">
      <w:pPr>
        <w:rPr>
          <w:rFonts w:ascii="Arial" w:hAnsi="Arial"/>
          <w:i/>
          <w:sz w:val="22"/>
        </w:rPr>
      </w:pPr>
    </w:p>
    <w:p w:rsidR="006D5F76" w:rsidRDefault="002E2161">
      <w:r>
        <w:rPr>
          <w:rFonts w:ascii="Arial" w:hAnsi="Arial"/>
          <w:i/>
          <w:sz w:val="22"/>
        </w:rPr>
        <w:t>Alternativ 2:</w:t>
      </w:r>
    </w:p>
    <w:p w:rsidR="006D5F76" w:rsidRDefault="002E2161">
      <w:pPr>
        <w:rPr>
          <w:rFonts w:ascii="Arial" w:hAnsi="Arial"/>
          <w:sz w:val="22"/>
        </w:rPr>
      </w:pPr>
      <w:r>
        <w:rPr>
          <w:rFonts w:ascii="Arial" w:hAnsi="Arial"/>
          <w:sz w:val="22"/>
        </w:rPr>
        <w:t xml:space="preserve">I tillegg til advarselsfeltet på preparatets ordinære etikett, gjelder følgende: </w:t>
      </w:r>
    </w:p>
    <w:p w:rsidR="00451FB7" w:rsidRDefault="00451FB7">
      <w:pPr>
        <w:rPr>
          <w:rFonts w:ascii="Arial" w:hAnsi="Arial"/>
          <w:sz w:val="22"/>
        </w:rPr>
      </w:pPr>
    </w:p>
    <w:p w:rsidR="00451FB7" w:rsidRDefault="00451FB7">
      <w:pPr>
        <w:rPr>
          <w:rFonts w:ascii="Arial" w:hAnsi="Arial"/>
          <w:sz w:val="22"/>
        </w:rPr>
      </w:pPr>
      <w:r>
        <w:rPr>
          <w:rFonts w:ascii="Arial" w:hAnsi="Arial"/>
          <w:sz w:val="22"/>
        </w:rPr>
        <w:t>Av hensyn til utvaskingsfaren skal preparatet ikke brukes på sandbaserte greener uten tilsetning av organisk materiale i rotsonen.</w:t>
      </w:r>
    </w:p>
    <w:p w:rsidR="006D5F76" w:rsidRDefault="00451FB7">
      <w:pPr>
        <w:rPr>
          <w:rFonts w:ascii="Arial" w:hAnsi="Arial"/>
        </w:rPr>
      </w:pPr>
      <w:r>
        <w:rPr>
          <w:rFonts w:ascii="Arial" w:hAnsi="Arial"/>
        </w:rPr>
        <w:t xml:space="preserve"> </w:t>
      </w:r>
    </w:p>
    <w:p w:rsidR="006D5F76" w:rsidRDefault="002E2161">
      <w:pPr>
        <w:rPr>
          <w:rFonts w:ascii="Arial" w:hAnsi="Arial"/>
          <w:i/>
        </w:rPr>
      </w:pPr>
      <w:r>
        <w:rPr>
          <w:rFonts w:ascii="Arial" w:hAnsi="Arial"/>
          <w:i/>
        </w:rPr>
        <w:t xml:space="preserve">Om utvidelse av anvendelsen krever endringer i forsiktighetsregler, m.m. skal dette oppgis av Mattilsynet. </w:t>
      </w:r>
    </w:p>
    <w:p w:rsidR="006D5F76" w:rsidRDefault="006D5F76">
      <w:pPr>
        <w:rPr>
          <w:rFonts w:ascii="Arial" w:hAnsi="Arial"/>
          <w:i/>
        </w:rPr>
      </w:pPr>
    </w:p>
    <w:p w:rsidR="006D5F76" w:rsidRDefault="002E2161">
      <w:r>
        <w:rPr>
          <w:rFonts w:ascii="Arial" w:hAnsi="Arial"/>
          <w:b/>
          <w:sz w:val="22"/>
          <w:u w:val="single"/>
        </w:rPr>
        <w:t xml:space="preserve">Bruksområde </w:t>
      </w:r>
      <w:r>
        <w:rPr>
          <w:rFonts w:ascii="Arial" w:hAnsi="Arial"/>
        </w:rPr>
        <w:br/>
      </w:r>
      <w:r w:rsidR="00451FB7">
        <w:rPr>
          <w:rFonts w:ascii="Arial" w:hAnsi="Arial" w:cs="Arial"/>
          <w:sz w:val="22"/>
          <w:szCs w:val="22"/>
        </w:rPr>
        <w:t>Mot rotdreper (take-all patch</w:t>
      </w:r>
      <w:r w:rsidR="008A7C77">
        <w:rPr>
          <w:rFonts w:ascii="Arial" w:hAnsi="Arial" w:cs="Arial"/>
          <w:sz w:val="22"/>
          <w:szCs w:val="22"/>
        </w:rPr>
        <w:t xml:space="preserve">, </w:t>
      </w:r>
      <w:r w:rsidR="008A7C77" w:rsidRPr="0063246C">
        <w:rPr>
          <w:rFonts w:ascii="Arial" w:hAnsi="Arial" w:cs="Arial"/>
          <w:i/>
          <w:sz w:val="22"/>
          <w:szCs w:val="22"/>
        </w:rPr>
        <w:t>Gaeumannomyces graminis</w:t>
      </w:r>
      <w:r w:rsidR="00451FB7">
        <w:rPr>
          <w:rFonts w:ascii="Arial" w:hAnsi="Arial" w:cs="Arial"/>
          <w:sz w:val="22"/>
          <w:szCs w:val="22"/>
        </w:rPr>
        <w:t xml:space="preserve">) på golfgreener. </w:t>
      </w:r>
    </w:p>
    <w:p w:rsidR="006D5F76" w:rsidRDefault="006D5F76">
      <w:pPr>
        <w:rPr>
          <w:rFonts w:ascii="Arial" w:hAnsi="Arial"/>
          <w:i/>
        </w:rPr>
      </w:pPr>
    </w:p>
    <w:p w:rsidR="006D5F76" w:rsidRDefault="002E2161">
      <w:pPr>
        <w:rPr>
          <w:rFonts w:ascii="Arial" w:hAnsi="Arial"/>
          <w:b/>
          <w:sz w:val="22"/>
        </w:rPr>
      </w:pPr>
      <w:r>
        <w:rPr>
          <w:rFonts w:ascii="Arial" w:hAnsi="Arial"/>
          <w:b/>
          <w:sz w:val="22"/>
        </w:rPr>
        <w:t>Antall behandlinger:</w:t>
      </w:r>
    </w:p>
    <w:p w:rsidR="00EB44BE" w:rsidRPr="00EB44BE" w:rsidRDefault="00782A71">
      <w:r>
        <w:rPr>
          <w:rFonts w:ascii="Arial" w:hAnsi="Arial"/>
          <w:sz w:val="22"/>
        </w:rPr>
        <w:t xml:space="preserve">Max. </w:t>
      </w:r>
      <w:r w:rsidR="0082449E">
        <w:rPr>
          <w:rFonts w:ascii="Arial" w:hAnsi="Arial"/>
          <w:sz w:val="22"/>
        </w:rPr>
        <w:t>1</w:t>
      </w:r>
      <w:r w:rsidR="007D2711">
        <w:rPr>
          <w:rFonts w:ascii="Arial" w:hAnsi="Arial"/>
          <w:sz w:val="22"/>
        </w:rPr>
        <w:t xml:space="preserve"> </w:t>
      </w:r>
      <w:r w:rsidR="0082449E">
        <w:rPr>
          <w:rFonts w:ascii="Arial" w:hAnsi="Arial"/>
          <w:sz w:val="22"/>
        </w:rPr>
        <w:t>gang</w:t>
      </w:r>
      <w:r w:rsidR="0063246C">
        <w:rPr>
          <w:rFonts w:ascii="Arial" w:hAnsi="Arial"/>
          <w:sz w:val="22"/>
        </w:rPr>
        <w:t xml:space="preserve"> </w:t>
      </w:r>
      <w:r w:rsidR="00451FB7">
        <w:rPr>
          <w:rFonts w:ascii="Arial" w:hAnsi="Arial"/>
          <w:sz w:val="22"/>
        </w:rPr>
        <w:t>pr sesong</w:t>
      </w:r>
    </w:p>
    <w:p w:rsidR="006D5F76" w:rsidRDefault="006D5F76">
      <w:pPr>
        <w:rPr>
          <w:rFonts w:ascii="Arial" w:hAnsi="Arial"/>
        </w:rPr>
      </w:pPr>
    </w:p>
    <w:p w:rsidR="006D5F76" w:rsidRDefault="002E2161">
      <w:pPr>
        <w:rPr>
          <w:rFonts w:ascii="Arial" w:hAnsi="Arial"/>
          <w:b/>
          <w:sz w:val="22"/>
        </w:rPr>
      </w:pPr>
      <w:r>
        <w:rPr>
          <w:rFonts w:ascii="Arial" w:hAnsi="Arial"/>
          <w:b/>
          <w:sz w:val="22"/>
        </w:rPr>
        <w:t xml:space="preserve">Behandlingsfrist: </w:t>
      </w:r>
    </w:p>
    <w:p w:rsidR="00EB44BE" w:rsidRPr="00EB44BE" w:rsidRDefault="00451FB7">
      <w:r>
        <w:rPr>
          <w:rFonts w:ascii="Arial" w:hAnsi="Arial"/>
          <w:sz w:val="22"/>
        </w:rPr>
        <w:t xml:space="preserve">Ikke relevant.  </w:t>
      </w:r>
    </w:p>
    <w:p w:rsidR="006D5F76" w:rsidRDefault="006D5F76">
      <w:pPr>
        <w:rPr>
          <w:rFonts w:ascii="Arial" w:hAnsi="Arial"/>
        </w:rPr>
      </w:pPr>
    </w:p>
    <w:p w:rsidR="006D5F76" w:rsidRDefault="002E2161">
      <w:pPr>
        <w:rPr>
          <w:rFonts w:ascii="Arial" w:hAnsi="Arial"/>
          <w:b/>
          <w:sz w:val="22"/>
          <w:u w:val="single"/>
        </w:rPr>
      </w:pPr>
      <w:r>
        <w:rPr>
          <w:rFonts w:ascii="Arial" w:hAnsi="Arial"/>
          <w:b/>
          <w:sz w:val="22"/>
          <w:u w:val="single"/>
        </w:rPr>
        <w:t>Bruksrettledning</w:t>
      </w:r>
    </w:p>
    <w:p w:rsidR="006D5F76" w:rsidRDefault="006D5F76">
      <w:pPr>
        <w:rPr>
          <w:rFonts w:ascii="Arial" w:hAnsi="Arial"/>
          <w:i/>
        </w:rPr>
      </w:pPr>
    </w:p>
    <w:p w:rsidR="006D5F76" w:rsidRDefault="002E2161">
      <w:r>
        <w:rPr>
          <w:rFonts w:ascii="Arial" w:hAnsi="Arial"/>
          <w:b/>
        </w:rPr>
        <w:t>Dosering:</w:t>
      </w:r>
    </w:p>
    <w:p w:rsidR="006D5F76" w:rsidRPr="00451FB7" w:rsidRDefault="008A7C77">
      <w:pPr>
        <w:rPr>
          <w:rFonts w:ascii="Arial" w:hAnsi="Arial"/>
          <w:sz w:val="22"/>
        </w:rPr>
      </w:pPr>
      <w:r>
        <w:rPr>
          <w:rFonts w:ascii="Arial" w:hAnsi="Arial"/>
          <w:sz w:val="22"/>
        </w:rPr>
        <w:t>100 ml</w:t>
      </w:r>
      <w:r w:rsidR="00451FB7" w:rsidRPr="00451FB7">
        <w:rPr>
          <w:rFonts w:ascii="Arial" w:hAnsi="Arial"/>
          <w:sz w:val="22"/>
        </w:rPr>
        <w:t xml:space="preserve"> i 50-100 liter vann pr daa. </w:t>
      </w:r>
      <w:r w:rsidR="002E2161" w:rsidRPr="00451FB7">
        <w:rPr>
          <w:rFonts w:ascii="Arial" w:hAnsi="Arial"/>
          <w:sz w:val="22"/>
        </w:rPr>
        <w:br/>
      </w:r>
    </w:p>
    <w:p w:rsidR="006D5F76" w:rsidRDefault="002E2161">
      <w:pPr>
        <w:rPr>
          <w:rFonts w:ascii="Arial" w:hAnsi="Arial"/>
          <w:b/>
        </w:rPr>
      </w:pPr>
      <w:r>
        <w:rPr>
          <w:rFonts w:ascii="Arial" w:hAnsi="Arial"/>
          <w:b/>
        </w:rPr>
        <w:lastRenderedPageBreak/>
        <w:t xml:space="preserve">Påføring: </w:t>
      </w:r>
    </w:p>
    <w:p w:rsidR="00552CF2" w:rsidRDefault="008A7C77" w:rsidP="008A7C77">
      <w:pPr>
        <w:suppressAutoHyphens w:val="0"/>
        <w:autoSpaceDE w:val="0"/>
        <w:adjustRightInd w:val="0"/>
        <w:textAlignment w:val="auto"/>
        <w:rPr>
          <w:rFonts w:ascii="Arial" w:hAnsi="Arial" w:cs="Arial"/>
          <w:sz w:val="22"/>
          <w:szCs w:val="22"/>
        </w:rPr>
      </w:pPr>
      <w:r>
        <w:rPr>
          <w:rFonts w:ascii="Arial" w:hAnsi="Arial" w:cs="Arial"/>
          <w:sz w:val="22"/>
          <w:szCs w:val="22"/>
        </w:rPr>
        <w:t xml:space="preserve">Sprøyt greenen </w:t>
      </w:r>
      <w:r w:rsidR="0082449E">
        <w:rPr>
          <w:rFonts w:ascii="Arial" w:hAnsi="Arial" w:cs="Arial"/>
          <w:sz w:val="22"/>
          <w:szCs w:val="22"/>
        </w:rPr>
        <w:t xml:space="preserve">om våren / forsommeren.  </w:t>
      </w:r>
      <w:r w:rsidR="00A80AD8">
        <w:rPr>
          <w:rFonts w:ascii="Arial" w:hAnsi="Arial" w:cs="Arial"/>
          <w:sz w:val="22"/>
          <w:szCs w:val="22"/>
        </w:rPr>
        <w:t>Blanding med vætemiddel og sprøyting etter lufting gir bedre inntrenging i rotsonen. B</w:t>
      </w:r>
      <w:r w:rsidR="00782A71">
        <w:rPr>
          <w:rFonts w:ascii="Arial" w:hAnsi="Arial" w:cs="Arial"/>
          <w:sz w:val="22"/>
          <w:szCs w:val="22"/>
        </w:rPr>
        <w:t xml:space="preserve">ruk stor væskemengde, eventuelt </w:t>
      </w:r>
      <w:r w:rsidR="001321EA">
        <w:rPr>
          <w:rFonts w:ascii="Arial" w:hAnsi="Arial" w:cs="Arial"/>
          <w:sz w:val="22"/>
          <w:szCs w:val="22"/>
        </w:rPr>
        <w:t xml:space="preserve">moderat </w:t>
      </w:r>
      <w:r w:rsidR="00782A71">
        <w:rPr>
          <w:rFonts w:ascii="Arial" w:hAnsi="Arial" w:cs="Arial"/>
          <w:sz w:val="22"/>
          <w:szCs w:val="22"/>
        </w:rPr>
        <w:t xml:space="preserve">vanning etter sprøyting.  </w:t>
      </w:r>
    </w:p>
    <w:p w:rsidR="00552CF2" w:rsidRDefault="00552CF2" w:rsidP="002E2161">
      <w:pPr>
        <w:suppressAutoHyphens w:val="0"/>
        <w:autoSpaceDE w:val="0"/>
        <w:adjustRightInd w:val="0"/>
        <w:textAlignment w:val="auto"/>
        <w:rPr>
          <w:rFonts w:ascii="Arial" w:hAnsi="Arial" w:cs="Arial"/>
          <w:sz w:val="22"/>
          <w:szCs w:val="22"/>
        </w:rPr>
      </w:pPr>
    </w:p>
    <w:sectPr w:rsidR="00552CF2">
      <w:pgSz w:w="11906" w:h="16838"/>
      <w:pgMar w:top="1417" w:right="1417"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CE" w:rsidRDefault="00065FCE">
      <w:r>
        <w:separator/>
      </w:r>
    </w:p>
  </w:endnote>
  <w:endnote w:type="continuationSeparator" w:id="0">
    <w:p w:rsidR="00065FCE" w:rsidRDefault="0006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CE" w:rsidRDefault="00065FCE">
      <w:r>
        <w:rPr>
          <w:color w:val="000000"/>
        </w:rPr>
        <w:separator/>
      </w:r>
    </w:p>
  </w:footnote>
  <w:footnote w:type="continuationSeparator" w:id="0">
    <w:p w:rsidR="00065FCE" w:rsidRDefault="00065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76"/>
    <w:rsid w:val="00065FCE"/>
    <w:rsid w:val="001321EA"/>
    <w:rsid w:val="0017765A"/>
    <w:rsid w:val="002E2161"/>
    <w:rsid w:val="003745C7"/>
    <w:rsid w:val="00406A2D"/>
    <w:rsid w:val="00451FB7"/>
    <w:rsid w:val="00552CF2"/>
    <w:rsid w:val="00576E1F"/>
    <w:rsid w:val="0063246C"/>
    <w:rsid w:val="006D5F76"/>
    <w:rsid w:val="007024F0"/>
    <w:rsid w:val="00721EC9"/>
    <w:rsid w:val="00782A71"/>
    <w:rsid w:val="007D2711"/>
    <w:rsid w:val="00803B43"/>
    <w:rsid w:val="0082449E"/>
    <w:rsid w:val="008A7C77"/>
    <w:rsid w:val="00966FD0"/>
    <w:rsid w:val="00A80AD8"/>
    <w:rsid w:val="00B86616"/>
    <w:rsid w:val="00C554C1"/>
    <w:rsid w:val="00EB44BE"/>
    <w:rsid w:val="00F213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E615B-5B06-4EE1-8903-1F1BD764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880</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medeh</dc:creator>
  <cp:lastModifiedBy>Dølerud, Martin</cp:lastModifiedBy>
  <cp:revision>2</cp:revision>
  <dcterms:created xsi:type="dcterms:W3CDTF">2017-07-03T09:16:00Z</dcterms:created>
  <dcterms:modified xsi:type="dcterms:W3CDTF">2017-07-03T09:16:00Z</dcterms:modified>
</cp:coreProperties>
</file>